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default"/>
        </w:rPr>
      </w:pPr>
      <w:bookmarkStart w:id="0" w:name="_GoBack"/>
      <w:r>
        <w:rPr>
          <w:rFonts w:hint="default" w:ascii="Times New Roman" w:hAnsi="Times New Roman" w:cs="Times New Roman"/>
          <w:b/>
          <w:bCs/>
          <w:sz w:val="28"/>
          <w:szCs w:val="28"/>
        </w:rPr>
        <w:t>Supplementary material</w:t>
      </w:r>
    </w:p>
    <w:bookmarkEnd w:id="0"/>
    <w:p>
      <w:pPr>
        <w:pStyle w:val="2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cs="Times New Roman"/>
          <w:b/>
          <w:bCs/>
          <w:sz w:val="24"/>
        </w:rPr>
        <w:t>Table S1</w:t>
      </w:r>
      <w:r>
        <w:rPr>
          <w:rFonts w:hint="default" w:ascii="Times New Roman" w:hAnsi="Times New Roman" w:cs="Times New Roman"/>
          <w:sz w:val="24"/>
        </w:rPr>
        <w:t xml:space="preserve"> </w:t>
      </w:r>
      <w:r>
        <w:rPr>
          <w:rFonts w:hint="default" w:ascii="Times New Roman" w:hAnsi="Times New Roman" w:eastAsia="宋体" w:cs="Times New Roman"/>
          <w:sz w:val="24"/>
        </w:rPr>
        <w:t>Primers used in this study</w:t>
      </w:r>
    </w:p>
    <w:tbl>
      <w:tblPr>
        <w:tblStyle w:val="5"/>
        <w:tblW w:w="9138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3"/>
        <w:gridCol w:w="3589"/>
        <w:gridCol w:w="1571"/>
        <w:gridCol w:w="242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Primer name</w:t>
            </w:r>
          </w:p>
        </w:tc>
        <w:tc>
          <w:tcPr>
            <w:tcW w:w="358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Primer sequence (5’-3’)</w:t>
            </w:r>
          </w:p>
        </w:tc>
        <w:tc>
          <w:tcPr>
            <w:tcW w:w="157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Target gene</w:t>
            </w:r>
          </w:p>
        </w:tc>
        <w:tc>
          <w:tcPr>
            <w:tcW w:w="242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References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338F</w:t>
            </w:r>
          </w:p>
        </w:tc>
        <w:tc>
          <w:tcPr>
            <w:tcW w:w="358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color w:val="000000"/>
                <w:kern w:val="24"/>
                <w:sz w:val="24"/>
                <w:szCs w:val="24"/>
              </w:rPr>
              <w:t>ACTCCTACGGGAGGCAGC</w:t>
            </w:r>
          </w:p>
        </w:tc>
        <w:tc>
          <w:tcPr>
            <w:tcW w:w="157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16S rRNA</w:t>
            </w:r>
          </w:p>
        </w:tc>
        <w:tc>
          <w:tcPr>
            <w:tcW w:w="242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[1, 2]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518R</w:t>
            </w:r>
          </w:p>
        </w:tc>
        <w:tc>
          <w:tcPr>
            <w:tcW w:w="358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color w:val="000000"/>
                <w:kern w:val="24"/>
                <w:sz w:val="24"/>
                <w:szCs w:val="24"/>
              </w:rPr>
              <w:t>ATTACCGCGGCTGCTGG</w:t>
            </w:r>
          </w:p>
        </w:tc>
        <w:tc>
          <w:tcPr>
            <w:tcW w:w="1571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camoA-19F</w:t>
            </w:r>
          </w:p>
        </w:tc>
        <w:tc>
          <w:tcPr>
            <w:tcW w:w="358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ATGGTCTGGYTWAGACG</w:t>
            </w:r>
          </w:p>
        </w:tc>
        <w:tc>
          <w:tcPr>
            <w:tcW w:w="157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  <w:t>amoA</w:t>
            </w:r>
          </w:p>
        </w:tc>
        <w:tc>
          <w:tcPr>
            <w:tcW w:w="242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[3]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camoA-616R</w:t>
            </w:r>
          </w:p>
        </w:tc>
        <w:tc>
          <w:tcPr>
            <w:tcW w:w="358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GCCATCCABCKRTANGTCCA</w:t>
            </w:r>
          </w:p>
        </w:tc>
        <w:tc>
          <w:tcPr>
            <w:tcW w:w="157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amoA-1F</w:t>
            </w:r>
          </w:p>
        </w:tc>
        <w:tc>
          <w:tcPr>
            <w:tcW w:w="358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GGGGTTTCTACTGGTGGT</w:t>
            </w:r>
          </w:p>
        </w:tc>
        <w:tc>
          <w:tcPr>
            <w:tcW w:w="157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  <w:t>amoA</w:t>
            </w:r>
          </w:p>
        </w:tc>
        <w:tc>
          <w:tcPr>
            <w:tcW w:w="242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[4]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amoA-2R</w:t>
            </w:r>
          </w:p>
        </w:tc>
        <w:tc>
          <w:tcPr>
            <w:tcW w:w="358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CCCCTCKGSAAAGCCTTCTTC</w:t>
            </w:r>
          </w:p>
        </w:tc>
        <w:tc>
          <w:tcPr>
            <w:tcW w:w="157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comaA-244F</w:t>
            </w:r>
          </w:p>
        </w:tc>
        <w:tc>
          <w:tcPr>
            <w:tcW w:w="358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color w:val="000000"/>
                <w:kern w:val="24"/>
                <w:sz w:val="24"/>
                <w:szCs w:val="24"/>
              </w:rPr>
              <w:t>TAYAAYTGGGTSAAYTA</w:t>
            </w:r>
          </w:p>
        </w:tc>
        <w:tc>
          <w:tcPr>
            <w:tcW w:w="157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  <w:t>amoA</w:t>
            </w:r>
          </w:p>
        </w:tc>
        <w:tc>
          <w:tcPr>
            <w:tcW w:w="242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[5]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comaA-659R</w:t>
            </w:r>
          </w:p>
        </w:tc>
        <w:tc>
          <w:tcPr>
            <w:tcW w:w="358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color w:val="000000"/>
                <w:kern w:val="24"/>
                <w:sz w:val="24"/>
                <w:szCs w:val="24"/>
              </w:rPr>
              <w:t>ARATCATSGTGCTRTG</w:t>
            </w:r>
          </w:p>
        </w:tc>
        <w:tc>
          <w:tcPr>
            <w:tcW w:w="157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338F</w:t>
            </w:r>
          </w:p>
        </w:tc>
        <w:tc>
          <w:tcPr>
            <w:tcW w:w="358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ACTCCTACGGGAGGCAGCA</w:t>
            </w:r>
          </w:p>
        </w:tc>
        <w:tc>
          <w:tcPr>
            <w:tcW w:w="157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16S rRNA</w:t>
            </w:r>
          </w:p>
        </w:tc>
        <w:tc>
          <w:tcPr>
            <w:tcW w:w="242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[6]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806R</w:t>
            </w:r>
          </w:p>
        </w:tc>
        <w:tc>
          <w:tcPr>
            <w:tcW w:w="358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GGACTACHVGGGTWTCTAAT</w:t>
            </w:r>
          </w:p>
        </w:tc>
        <w:tc>
          <w:tcPr>
            <w:tcW w:w="1571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pStyle w:val="2"/>
        <w:rPr>
          <w:rFonts w:hint="default" w:ascii="Times New Roman" w:hAnsi="Times New Roman" w:cs="Times New Roman"/>
          <w:b/>
          <w:bCs/>
          <w:sz w:val="24"/>
        </w:rPr>
      </w:pPr>
    </w:p>
    <w:p>
      <w:pPr>
        <w:pStyle w:val="2"/>
        <w:rPr>
          <w:rFonts w:hint="default" w:ascii="Times New Roman" w:hAnsi="Times New Roman" w:eastAsia="宋体" w:cs="Times New Roman"/>
          <w:b/>
          <w:bCs/>
          <w:sz w:val="24"/>
        </w:rPr>
      </w:pPr>
      <w:r>
        <w:rPr>
          <w:rFonts w:hint="default" w:ascii="Times New Roman" w:hAnsi="Times New Roman" w:cs="Times New Roman"/>
          <w:b/>
          <w:bCs/>
          <w:sz w:val="24"/>
        </w:rPr>
        <w:t>Table S</w:t>
      </w:r>
      <w:r>
        <w:rPr>
          <w:rFonts w:hint="default" w:ascii="Times New Roman" w:hAnsi="Times New Roman" w:eastAsia="宋体" w:cs="Times New Roman"/>
          <w:b/>
          <w:bCs/>
          <w:sz w:val="24"/>
        </w:rPr>
        <w:t>2</w:t>
      </w:r>
      <w:r>
        <w:rPr>
          <w:rFonts w:hint="default" w:ascii="Times New Roman" w:hAnsi="Times New Roman" w:eastAsia="宋体" w:cs="Times New Roman"/>
          <w:sz w:val="24"/>
        </w:rPr>
        <w:t xml:space="preserve"> The TPM of </w:t>
      </w:r>
      <w:r>
        <w:rPr>
          <w:rFonts w:hint="default" w:ascii="Times New Roman" w:hAnsi="Times New Roman" w:eastAsia="宋体" w:cs="Times New Roman"/>
          <w:i/>
          <w:iCs/>
          <w:sz w:val="24"/>
        </w:rPr>
        <w:t>ure</w:t>
      </w:r>
      <w:r>
        <w:rPr>
          <w:rFonts w:hint="default" w:ascii="Times New Roman" w:hAnsi="Times New Roman" w:eastAsia="宋体" w:cs="Times New Roman"/>
          <w:sz w:val="24"/>
        </w:rPr>
        <w:t xml:space="preserve"> and </w:t>
      </w:r>
      <w:r>
        <w:rPr>
          <w:rFonts w:hint="default" w:ascii="Times New Roman" w:hAnsi="Times New Roman" w:eastAsia="宋体" w:cs="Times New Roman"/>
          <w:i/>
          <w:iCs/>
          <w:sz w:val="24"/>
        </w:rPr>
        <w:t>urtABCDE</w:t>
      </w:r>
      <w:r>
        <w:rPr>
          <w:rFonts w:hint="default" w:ascii="Times New Roman" w:hAnsi="Times New Roman" w:eastAsia="宋体" w:cs="Times New Roman"/>
          <w:sz w:val="24"/>
        </w:rPr>
        <w:t xml:space="preserve"> in reactor SA and SB</w:t>
      </w:r>
    </w:p>
    <w:tbl>
      <w:tblPr>
        <w:tblStyle w:val="4"/>
        <w:tblW w:w="4416" w:type="dxa"/>
        <w:jc w:val="center"/>
        <w:tblBorders>
          <w:top w:val="single" w:color="000000" w:sz="4" w:space="0"/>
          <w:left w:val="none" w:color="auto" w:sz="0" w:space="0"/>
          <w:bottom w:val="single" w:color="00000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56"/>
        <w:gridCol w:w="1474"/>
        <w:gridCol w:w="1490"/>
      </w:tblGrid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45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Reactor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SA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SB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URE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 xml:space="preserve">3002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 xml:space="preserve">3638 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UrtABCDE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 xml:space="preserve">3505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 xml:space="preserve">4106 </w:t>
            </w:r>
          </w:p>
        </w:tc>
      </w:tr>
    </w:tbl>
    <w:p>
      <w:pPr>
        <w:rPr>
          <w:rFonts w:hint="default" w:ascii="Times New Roman" w:hAnsi="Times New Roman" w:eastAsia="黑体" w:cs="Times New Roman"/>
          <w:b/>
          <w:bCs/>
          <w:sz w:val="24"/>
        </w:rPr>
      </w:pPr>
      <w:r>
        <w:rPr>
          <w:rFonts w:hint="default" w:ascii="Times New Roman" w:hAnsi="Times New Roman" w:eastAsia="黑体" w:cs="Times New Roman"/>
          <w:b/>
          <w:bCs/>
          <w:sz w:val="24"/>
        </w:rPr>
        <w:t>References</w:t>
      </w:r>
    </w:p>
    <w:p>
      <w:pPr>
        <w:numPr>
          <w:ilvl w:val="0"/>
          <w:numId w:val="1"/>
        </w:numPr>
        <w:rPr>
          <w:rFonts w:hint="default" w:ascii="Times New Roman" w:hAnsi="Times New Roman" w:cs="Times New Roman"/>
          <w:iCs/>
          <w:sz w:val="24"/>
          <w:szCs w:val="24"/>
        </w:rPr>
      </w:pPr>
      <w:r>
        <w:rPr>
          <w:rFonts w:hint="default" w:ascii="Times New Roman" w:hAnsi="Times New Roman" w:cs="Times New Roman"/>
          <w:iCs/>
          <w:sz w:val="24"/>
          <w:szCs w:val="24"/>
        </w:rPr>
        <w:t>Wallner G, Amann R, and Beisker W (1993) Optimizing Fluorescent in Situ Hybridization with rRNA-Targeted Oligonucleotide Probes for Flow Cytometric Identification of Microorganisms. Cytometry 14(2): 136-143.</w:t>
      </w:r>
    </w:p>
    <w:p>
      <w:pPr>
        <w:numPr>
          <w:ilvl w:val="0"/>
          <w:numId w:val="1"/>
        </w:numPr>
        <w:rPr>
          <w:rFonts w:hint="default" w:ascii="Times New Roman" w:hAnsi="Times New Roman" w:cs="Times New Roman"/>
          <w:iCs/>
          <w:sz w:val="24"/>
          <w:szCs w:val="24"/>
        </w:rPr>
      </w:pPr>
      <w:r>
        <w:rPr>
          <w:rFonts w:hint="default" w:ascii="Times New Roman" w:hAnsi="Times New Roman" w:cs="Times New Roman"/>
          <w:iCs/>
          <w:sz w:val="24"/>
          <w:szCs w:val="24"/>
        </w:rPr>
        <w:t>Muyzer G, Waal EC, Uitterlinden AG (1993) Profiling of Complex Microbial Populations by Denaturing Gradient gel Electrophoresis Analysis of Polymerase Chain Reaction-amplified Genes Coding for 16S rRNA. Appl Environ Microbiol 59: 695-700.</w:t>
      </w:r>
    </w:p>
    <w:p>
      <w:pPr>
        <w:numPr>
          <w:ilvl w:val="0"/>
          <w:numId w:val="1"/>
        </w:numPr>
        <w:rPr>
          <w:rFonts w:hint="default" w:ascii="Times New Roman" w:hAnsi="Times New Roman" w:cs="Times New Roman"/>
          <w:iCs/>
          <w:sz w:val="24"/>
          <w:szCs w:val="24"/>
        </w:rPr>
      </w:pPr>
      <w:r>
        <w:rPr>
          <w:rFonts w:hint="default" w:ascii="Times New Roman" w:hAnsi="Times New Roman" w:cs="Times New Roman"/>
          <w:iCs/>
          <w:sz w:val="24"/>
          <w:szCs w:val="24"/>
        </w:rPr>
        <w:t>Michael P, Thomas R, Stefan F</w:t>
      </w:r>
      <w:r>
        <w:rPr>
          <w:rFonts w:hint="default" w:ascii="Times New Roman" w:hAnsi="Times New Roman" w:eastAsia="Î¢ÈíÑÅºÚ" w:cs="Times New Roman"/>
          <w:sz w:val="24"/>
          <w:szCs w:val="24"/>
        </w:rPr>
        <w:t xml:space="preserve"> et al (</w:t>
      </w:r>
      <w:r>
        <w:rPr>
          <w:rFonts w:hint="default" w:ascii="Times New Roman" w:hAnsi="Times New Roman" w:cs="Times New Roman"/>
          <w:iCs/>
          <w:sz w:val="24"/>
          <w:szCs w:val="24"/>
        </w:rPr>
        <w:t xml:space="preserve">2012) </w:t>
      </w:r>
      <w:r>
        <w:rPr>
          <w:rFonts w:hint="default" w:ascii="Times New Roman" w:hAnsi="Times New Roman" w:cs="Times New Roman"/>
          <w:i/>
          <w:sz w:val="24"/>
          <w:szCs w:val="24"/>
        </w:rPr>
        <w:t>amoA</w:t>
      </w:r>
      <w:r>
        <w:rPr>
          <w:rFonts w:hint="default" w:ascii="Times New Roman" w:hAnsi="Times New Roman" w:cs="Times New Roman"/>
          <w:iCs/>
          <w:sz w:val="24"/>
          <w:szCs w:val="24"/>
        </w:rPr>
        <w:t xml:space="preserve">-Based Consensus Phylogeny of Ammonia-oxidizing Archaea and Deep Sequencing of </w:t>
      </w:r>
      <w:r>
        <w:rPr>
          <w:rFonts w:hint="default" w:ascii="Times New Roman" w:hAnsi="Times New Roman" w:cs="Times New Roman"/>
          <w:i/>
          <w:sz w:val="24"/>
          <w:szCs w:val="24"/>
        </w:rPr>
        <w:t>amoA</w:t>
      </w:r>
      <w:r>
        <w:rPr>
          <w:rFonts w:hint="default" w:ascii="Times New Roman" w:hAnsi="Times New Roman" w:cs="Times New Roman"/>
          <w:iCs/>
          <w:sz w:val="24"/>
          <w:szCs w:val="24"/>
        </w:rPr>
        <w:t xml:space="preserve"> Genes from Soils of Four Different Geographic Regions. Environ Microbiol 14(2): 525-539.</w:t>
      </w:r>
    </w:p>
    <w:p>
      <w:pPr>
        <w:numPr>
          <w:ilvl w:val="0"/>
          <w:numId w:val="1"/>
        </w:numPr>
        <w:jc w:val="left"/>
        <w:rPr>
          <w:rFonts w:hint="default" w:ascii="Times New Roman" w:hAnsi="Times New Roman" w:cs="Times New Roman"/>
          <w:iCs/>
          <w:sz w:val="24"/>
          <w:szCs w:val="24"/>
        </w:rPr>
      </w:pPr>
      <w:r>
        <w:rPr>
          <w:rFonts w:hint="default" w:ascii="Times New Roman" w:hAnsi="Times New Roman" w:cs="Times New Roman"/>
          <w:iCs/>
          <w:sz w:val="24"/>
          <w:szCs w:val="24"/>
        </w:rPr>
        <w:t xml:space="preserve">Rotthauwe J, Witzel K and Liesack W (1997) The Ammonia Onooxygenase Structural Gene </w:t>
      </w:r>
      <w:r>
        <w:rPr>
          <w:rFonts w:hint="default" w:ascii="Times New Roman" w:hAnsi="Times New Roman" w:cs="Times New Roman"/>
          <w:i/>
          <w:sz w:val="24"/>
          <w:szCs w:val="24"/>
        </w:rPr>
        <w:t>amoA</w:t>
      </w:r>
      <w:r>
        <w:rPr>
          <w:rFonts w:hint="default" w:ascii="Times New Roman" w:hAnsi="Times New Roman" w:cs="Times New Roman"/>
          <w:iCs/>
          <w:sz w:val="24"/>
          <w:szCs w:val="24"/>
        </w:rPr>
        <w:t xml:space="preserve"> as a Functional Marker: Molecular Ine-scale Analysis of Natural Ammonia-oxidizing populations. Appl Environ Microbiol 63(12): 4704-4712</w:t>
      </w:r>
    </w:p>
    <w:p>
      <w:pPr>
        <w:numPr>
          <w:ilvl w:val="0"/>
          <w:numId w:val="1"/>
        </w:numPr>
        <w:rPr>
          <w:rFonts w:hint="default" w:ascii="Times New Roman" w:hAnsi="Times New Roman" w:cs="Times New Roman"/>
          <w:iCs/>
          <w:sz w:val="24"/>
          <w:szCs w:val="24"/>
        </w:rPr>
      </w:pPr>
      <w:r>
        <w:rPr>
          <w:rFonts w:hint="default" w:ascii="Times New Roman" w:hAnsi="Times New Roman" w:cs="Times New Roman"/>
          <w:iCs/>
          <w:sz w:val="24"/>
          <w:szCs w:val="24"/>
        </w:rPr>
        <w:t>Pjevac P, Schauberger C, Poghosyan L</w:t>
      </w:r>
      <w:r>
        <w:rPr>
          <w:rFonts w:hint="default" w:ascii="Times New Roman" w:hAnsi="Times New Roman" w:eastAsia="Î¢ÈíÑÅºÚ" w:cs="Times New Roman"/>
          <w:sz w:val="24"/>
          <w:szCs w:val="24"/>
        </w:rPr>
        <w:t xml:space="preserve"> et al (</w:t>
      </w:r>
      <w:r>
        <w:rPr>
          <w:rFonts w:hint="default" w:ascii="Times New Roman" w:hAnsi="Times New Roman" w:cs="Times New Roman"/>
          <w:iCs/>
          <w:sz w:val="24"/>
          <w:szCs w:val="24"/>
        </w:rPr>
        <w:t xml:space="preserve">2017) </w:t>
      </w:r>
      <w:r>
        <w:rPr>
          <w:rFonts w:hint="default" w:ascii="Times New Roman" w:hAnsi="Times New Roman" w:cs="Times New Roman"/>
          <w:i/>
          <w:sz w:val="24"/>
          <w:szCs w:val="24"/>
        </w:rPr>
        <w:t>amoA-</w:t>
      </w:r>
      <w:r>
        <w:rPr>
          <w:rFonts w:hint="default" w:ascii="Times New Roman" w:hAnsi="Times New Roman" w:cs="Times New Roman"/>
          <w:iCs/>
          <w:sz w:val="24"/>
          <w:szCs w:val="24"/>
        </w:rPr>
        <w:t xml:space="preserve">Targeted Polymerase Chain Reaction Primers for the Specific Detection and Quantification of Comammox </w:t>
      </w:r>
      <w:r>
        <w:rPr>
          <w:rFonts w:hint="default" w:ascii="Times New Roman" w:hAnsi="Times New Roman" w:cs="Times New Roman"/>
          <w:i/>
          <w:sz w:val="24"/>
          <w:szCs w:val="24"/>
        </w:rPr>
        <w:t>Nitrospira</w:t>
      </w:r>
      <w:r>
        <w:rPr>
          <w:rFonts w:hint="default" w:ascii="Times New Roman" w:hAnsi="Times New Roman" w:cs="Times New Roman"/>
          <w:iCs/>
          <w:sz w:val="24"/>
          <w:szCs w:val="24"/>
        </w:rPr>
        <w:t xml:space="preserve"> in the Environment. Front Microbiol 8: 1508.</w:t>
      </w:r>
    </w:p>
    <w:p>
      <w:pPr>
        <w:numPr>
          <w:ilvl w:val="0"/>
          <w:numId w:val="1"/>
        </w:numPr>
        <w:rPr>
          <w:sz w:val="24"/>
          <w:szCs w:val="24"/>
        </w:rPr>
      </w:pPr>
      <w:r>
        <w:rPr>
          <w:rFonts w:hint="default" w:ascii="Times New Roman" w:hAnsi="Times New Roman" w:cs="Times New Roman"/>
          <w:iCs/>
          <w:sz w:val="24"/>
          <w:szCs w:val="24"/>
        </w:rPr>
        <w:t>Fadrosh</w:t>
      </w:r>
      <w:r>
        <w:rPr>
          <w:rFonts w:hint="eastAsia" w:ascii="Times New Roman" w:hAnsi="Times New Roman" w:cs="Times New Roman"/>
          <w:i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iCs/>
          <w:sz w:val="24"/>
          <w:szCs w:val="24"/>
        </w:rPr>
        <w:t>D, Bing</w:t>
      </w:r>
      <w:r>
        <w:rPr>
          <w:rFonts w:hint="eastAsia" w:ascii="Times New Roman" w:hAnsi="Times New Roman" w:cs="Times New Roman"/>
          <w:i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iCs/>
          <w:sz w:val="24"/>
          <w:szCs w:val="24"/>
        </w:rPr>
        <w:t>M, Gajer P</w:t>
      </w:r>
      <w:r>
        <w:rPr>
          <w:rFonts w:hint="default" w:ascii="Times New Roman" w:hAnsi="Times New Roman" w:eastAsia="Î¢ÈíÑÅºÚ" w:cs="Times New Roman"/>
          <w:sz w:val="24"/>
          <w:szCs w:val="24"/>
        </w:rPr>
        <w:t xml:space="preserve"> et al (</w:t>
      </w:r>
      <w:r>
        <w:rPr>
          <w:rFonts w:hint="default" w:ascii="Times New Roman" w:hAnsi="Times New Roman" w:cs="Times New Roman"/>
          <w:iCs/>
          <w:sz w:val="24"/>
          <w:szCs w:val="24"/>
        </w:rPr>
        <w:t>2014) An Improved Dual-indexing Approach for Multiplexed 16S rRNA Gene Sequencing on The Illumina Miseq Platform. Microbiome 2 (1): 1−7.</w:t>
      </w:r>
    </w:p>
    <w:sectPr>
      <w:footerReference r:id="rId3" w:type="default"/>
      <w:pgSz w:w="11906" w:h="16838"/>
      <w:pgMar w:top="1440" w:right="1800" w:bottom="1440" w:left="1800" w:header="851" w:footer="992" w:gutter="0"/>
      <w:lnNumType w:countBy="1" w:restart="continuous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Î¢ÈíÑÅºÚ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MuXNVE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72382B3"/>
    <w:multiLevelType w:val="singleLevel"/>
    <w:tmpl w:val="C72382B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A80AF5"/>
    <w:rsid w:val="1A20417F"/>
    <w:rsid w:val="5BA80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0"/>
    <w:rPr>
      <w:rFonts w:ascii="Arial" w:hAnsi="Arial" w:eastAsia="黑体"/>
      <w:sz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2020-01-20T05:07:00Z</dcterms:created>
  <dc:creator>赵宇翔</dc:creator>
  <cp:lastModifiedBy>赵宇翔</cp:lastModifiedBy>
  <dcterms:modified xsi:type="dcterms:W3CDTF">2020-01-20T05:22:26Z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